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A5FE1" w14:textId="77777777" w:rsidR="00FD433A" w:rsidRPr="00FD433A" w:rsidRDefault="003666F6" w:rsidP="003666F6">
      <w:pPr>
        <w:autoSpaceDE w:val="0"/>
        <w:autoSpaceDN w:val="0"/>
        <w:adjustRightInd w:val="0"/>
        <w:spacing w:after="0" w:line="240" w:lineRule="auto"/>
        <w:jc w:val="center"/>
        <w:rPr>
          <w:rFonts w:ascii="Myriad Pro Light" w:hAnsi="Myriad Pro Light" w:cs="Myriad Pro Light"/>
          <w:color w:val="000000"/>
          <w:sz w:val="24"/>
          <w:szCs w:val="24"/>
        </w:rPr>
      </w:pPr>
      <w:r w:rsidRPr="003666F6">
        <w:rPr>
          <w:rFonts w:ascii="Myriad Pro Light" w:hAnsi="Myriad Pro Light" w:cs="Myriad Pro Light"/>
          <w:noProof/>
          <w:color w:val="000000"/>
          <w:sz w:val="24"/>
          <w:szCs w:val="24"/>
        </w:rPr>
        <w:drawing>
          <wp:inline distT="0" distB="0" distL="0" distR="0" wp14:anchorId="0D551E80" wp14:editId="157FD192">
            <wp:extent cx="4190140" cy="2460812"/>
            <wp:effectExtent l="19050" t="0" r="8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9393" cy="2466246"/>
                    </a:xfrm>
                    <a:prstGeom prst="rect">
                      <a:avLst/>
                    </a:prstGeom>
                  </pic:spPr>
                </pic:pic>
              </a:graphicData>
            </a:graphic>
          </wp:inline>
        </w:drawing>
      </w:r>
    </w:p>
    <w:p w14:paraId="506CE526" w14:textId="77777777" w:rsidR="00FD433A" w:rsidRPr="00DB49EB" w:rsidRDefault="00FD433A" w:rsidP="00DB49EB">
      <w:pPr>
        <w:autoSpaceDE w:val="0"/>
        <w:autoSpaceDN w:val="0"/>
        <w:adjustRightInd w:val="0"/>
        <w:spacing w:after="80" w:line="201" w:lineRule="atLeast"/>
        <w:ind w:left="-180"/>
        <w:jc w:val="center"/>
        <w:rPr>
          <w:rFonts w:ascii="Myriad Pro Light" w:hAnsi="Myriad Pro Light" w:cs="Myriad Pro Light"/>
          <w:color w:val="000000"/>
          <w:sz w:val="32"/>
          <w:szCs w:val="32"/>
        </w:rPr>
      </w:pPr>
      <w:r w:rsidRPr="00FD433A">
        <w:rPr>
          <w:rFonts w:ascii="Myriad Pro Light" w:hAnsi="Myriad Pro Light" w:cs="Myriad Pro Light"/>
          <w:color w:val="000000"/>
          <w:sz w:val="24"/>
          <w:szCs w:val="24"/>
        </w:rPr>
        <w:t xml:space="preserve"> </w:t>
      </w:r>
      <w:r w:rsidRPr="00DB49EB">
        <w:rPr>
          <w:rFonts w:ascii="Myriad Pro Light" w:hAnsi="Myriad Pro Light" w:cs="Myriad Pro Light"/>
          <w:b/>
          <w:bCs/>
          <w:color w:val="000000"/>
          <w:sz w:val="32"/>
          <w:szCs w:val="32"/>
        </w:rPr>
        <w:t xml:space="preserve">The Environmental Landscape in an Age of Infrastructure Modernization </w:t>
      </w:r>
    </w:p>
    <w:p w14:paraId="7C9FB54C" w14:textId="77777777" w:rsidR="00FD433A" w:rsidRPr="00DB49EB" w:rsidRDefault="00FD433A" w:rsidP="00DB49EB">
      <w:pPr>
        <w:ind w:left="-180"/>
        <w:jc w:val="center"/>
        <w:rPr>
          <w:rFonts w:ascii="Myriad Pro" w:hAnsi="Myriad Pro" w:cs="Myriad Pro"/>
          <w:color w:val="000000"/>
        </w:rPr>
      </w:pPr>
      <w:r w:rsidRPr="00DB49EB">
        <w:rPr>
          <w:rFonts w:ascii="Myriad Pro" w:hAnsi="Myriad Pro" w:cs="Myriad Pro"/>
          <w:color w:val="000000"/>
        </w:rPr>
        <w:t>MAY 19–23, 2019 • BALTIMORE, MARYLAND</w:t>
      </w:r>
    </w:p>
    <w:p w14:paraId="15FB244A" w14:textId="77777777" w:rsidR="00FD433A" w:rsidRPr="00DB49EB" w:rsidRDefault="00BD28CA" w:rsidP="00DB49EB">
      <w:pPr>
        <w:ind w:left="-180"/>
        <w:jc w:val="center"/>
        <w:rPr>
          <w:color w:val="FF0000"/>
        </w:rPr>
      </w:pPr>
      <w:r>
        <w:rPr>
          <w:rFonts w:ascii="Myriad Pro" w:hAnsi="Myriad Pro" w:cs="Myriad Pro"/>
          <w:color w:val="FF0000"/>
        </w:rPr>
        <w:t>CALL FOR ABSTRACTS</w:t>
      </w:r>
    </w:p>
    <w:p w14:paraId="5EABF223" w14:textId="77777777" w:rsidR="00BD28CA" w:rsidRDefault="00BD28CA" w:rsidP="00DB49EB">
      <w:pPr>
        <w:ind w:left="-180"/>
        <w:rPr>
          <w:sz w:val="20"/>
          <w:szCs w:val="20"/>
        </w:rPr>
      </w:pPr>
      <w:r>
        <w:rPr>
          <w:sz w:val="20"/>
          <w:szCs w:val="20"/>
        </w:rPr>
        <w:t>The excitement is brewing in Baltimore in anticipation for next year’s NAEP Conference.  This is your opportunity to brag about your projects, let other environmental professionals learn about your techniques, network and partner, and partake in the unique Baltimore way of life.  Submit your abstract early in order to get a choice spot on the program.</w:t>
      </w:r>
    </w:p>
    <w:p w14:paraId="05751EF5" w14:textId="351EE075" w:rsidR="00BE6F56" w:rsidRPr="00DB49EB" w:rsidRDefault="00BE6F56" w:rsidP="00DB49EB">
      <w:pPr>
        <w:ind w:left="-180"/>
        <w:rPr>
          <w:sz w:val="20"/>
          <w:szCs w:val="20"/>
        </w:rPr>
      </w:pPr>
      <w:r w:rsidRPr="00DB49EB">
        <w:rPr>
          <w:sz w:val="20"/>
          <w:szCs w:val="20"/>
        </w:rPr>
        <w:t xml:space="preserve">Abstracts may be submitted until the </w:t>
      </w:r>
      <w:r w:rsidRPr="00BD28CA">
        <w:rPr>
          <w:b/>
          <w:sz w:val="20"/>
          <w:szCs w:val="20"/>
        </w:rPr>
        <w:t>September 15</w:t>
      </w:r>
      <w:r w:rsidRPr="00BD28CA">
        <w:rPr>
          <w:b/>
          <w:sz w:val="20"/>
          <w:szCs w:val="20"/>
          <w:vertAlign w:val="superscript"/>
        </w:rPr>
        <w:t>th</w:t>
      </w:r>
      <w:r w:rsidRPr="00BD28CA">
        <w:rPr>
          <w:b/>
          <w:sz w:val="20"/>
          <w:szCs w:val="20"/>
        </w:rPr>
        <w:t xml:space="preserve"> deadline</w:t>
      </w:r>
      <w:r w:rsidRPr="00DB49EB">
        <w:rPr>
          <w:sz w:val="20"/>
          <w:szCs w:val="20"/>
        </w:rPr>
        <w:t xml:space="preserve"> by </w:t>
      </w:r>
      <w:hyperlink r:id="rId5" w:history="1">
        <w:r w:rsidRPr="000C32A8">
          <w:rPr>
            <w:rStyle w:val="Hyperlink"/>
            <w:sz w:val="20"/>
            <w:szCs w:val="20"/>
          </w:rPr>
          <w:t>clicking here</w:t>
        </w:r>
      </w:hyperlink>
      <w:r w:rsidRPr="00DB49EB">
        <w:rPr>
          <w:sz w:val="20"/>
          <w:szCs w:val="20"/>
        </w:rPr>
        <w:t>.  The sooner, the better.</w:t>
      </w:r>
      <w:bookmarkStart w:id="0" w:name="_GoBack"/>
      <w:bookmarkEnd w:id="0"/>
    </w:p>
    <w:p w14:paraId="7931423D" w14:textId="77777777" w:rsidR="00DB49EB" w:rsidRPr="00DB49EB" w:rsidRDefault="00DB49EB" w:rsidP="00DB49EB">
      <w:pPr>
        <w:ind w:left="-180"/>
        <w:rPr>
          <w:sz w:val="20"/>
          <w:szCs w:val="20"/>
        </w:rPr>
      </w:pPr>
      <w:r w:rsidRPr="00DB49EB">
        <w:rPr>
          <w:sz w:val="20"/>
          <w:szCs w:val="20"/>
        </w:rPr>
        <w:t>The abstract must have the following attributes:</w:t>
      </w:r>
    </w:p>
    <w:p w14:paraId="71C728ED" w14:textId="77777777" w:rsidR="00DB49EB" w:rsidRPr="00DB49EB" w:rsidRDefault="00DB49EB" w:rsidP="00DB49EB">
      <w:pPr>
        <w:ind w:left="-180"/>
        <w:rPr>
          <w:sz w:val="20"/>
          <w:szCs w:val="20"/>
        </w:rPr>
      </w:pPr>
      <w:r w:rsidRPr="00DB49EB">
        <w:rPr>
          <w:sz w:val="20"/>
          <w:szCs w:val="20"/>
        </w:rPr>
        <w:t>• 300 words or less;</w:t>
      </w:r>
    </w:p>
    <w:p w14:paraId="0079F53A" w14:textId="77777777" w:rsidR="00DB49EB" w:rsidRPr="00DB49EB" w:rsidRDefault="00DB49EB" w:rsidP="00DB49EB">
      <w:pPr>
        <w:ind w:left="-180"/>
        <w:rPr>
          <w:sz w:val="20"/>
          <w:szCs w:val="20"/>
        </w:rPr>
      </w:pPr>
      <w:r w:rsidRPr="00DB49EB">
        <w:rPr>
          <w:sz w:val="20"/>
          <w:szCs w:val="20"/>
        </w:rPr>
        <w:t>• In Microsoft Word, Times New Roman, 12 font;</w:t>
      </w:r>
    </w:p>
    <w:p w14:paraId="61C15F8D" w14:textId="77777777" w:rsidR="00DB49EB" w:rsidRPr="00DB49EB" w:rsidRDefault="00DB49EB" w:rsidP="00DB49EB">
      <w:pPr>
        <w:ind w:left="-180"/>
        <w:rPr>
          <w:sz w:val="20"/>
          <w:szCs w:val="20"/>
        </w:rPr>
      </w:pPr>
      <w:r w:rsidRPr="00DB49EB">
        <w:rPr>
          <w:sz w:val="20"/>
          <w:szCs w:val="20"/>
        </w:rPr>
        <w:t>• Include one or two keywords that describe the general category of the paper; and</w:t>
      </w:r>
    </w:p>
    <w:p w14:paraId="527B87E1" w14:textId="77777777" w:rsidR="00DB49EB" w:rsidRPr="00DB49EB" w:rsidRDefault="00DB49EB" w:rsidP="00DB49EB">
      <w:pPr>
        <w:ind w:left="-180"/>
        <w:rPr>
          <w:sz w:val="20"/>
          <w:szCs w:val="20"/>
        </w:rPr>
      </w:pPr>
      <w:r w:rsidRPr="00DB49EB">
        <w:rPr>
          <w:sz w:val="20"/>
          <w:szCs w:val="20"/>
        </w:rPr>
        <w:t>• The final title(s) of the session(s) and paper(s).</w:t>
      </w:r>
      <w:r>
        <w:rPr>
          <w:sz w:val="20"/>
          <w:szCs w:val="20"/>
        </w:rPr>
        <w:t xml:space="preserve">  </w:t>
      </w:r>
      <w:r w:rsidRPr="00DB49EB">
        <w:rPr>
          <w:sz w:val="20"/>
          <w:szCs w:val="20"/>
        </w:rPr>
        <w:t>No changes will be allowed, so come up with a well thought out one.  Also provide us with the name of the moderator/organizer or session chair and their contact information. It is not necessary to include the names of all authors or presenters at this time.</w:t>
      </w:r>
    </w:p>
    <w:p w14:paraId="68189801" w14:textId="77777777" w:rsidR="00F61D65" w:rsidRPr="00BD28CA" w:rsidRDefault="00FD433A" w:rsidP="00DB49EB">
      <w:pPr>
        <w:ind w:left="-180"/>
        <w:rPr>
          <w:color w:val="FF0000"/>
        </w:rPr>
      </w:pPr>
      <w:r w:rsidRPr="00BD28CA">
        <w:rPr>
          <w:color w:val="FF0000"/>
        </w:rPr>
        <w:t xml:space="preserve">Contact Gary Kelman at </w:t>
      </w:r>
      <w:hyperlink r:id="rId6" w:history="1">
        <w:r w:rsidRPr="00BD28CA">
          <w:rPr>
            <w:color w:val="FF0000"/>
          </w:rPr>
          <w:t>garyfkelman@gmail.com</w:t>
        </w:r>
      </w:hyperlink>
      <w:r w:rsidRPr="00BD28CA">
        <w:rPr>
          <w:color w:val="FF0000"/>
        </w:rPr>
        <w:t xml:space="preserve"> for a</w:t>
      </w:r>
      <w:r w:rsidR="00BD28CA" w:rsidRPr="00BD28CA">
        <w:rPr>
          <w:color w:val="FF0000"/>
        </w:rPr>
        <w:t>ny abstract submittal questions or if you want to volunteer to lead a track or session.</w:t>
      </w:r>
    </w:p>
    <w:p w14:paraId="128C5354" w14:textId="77777777" w:rsidR="00F61D65" w:rsidRPr="00DB49EB" w:rsidRDefault="00F61D65" w:rsidP="00DB49EB">
      <w:pPr>
        <w:ind w:left="-180"/>
        <w:rPr>
          <w:sz w:val="20"/>
          <w:szCs w:val="20"/>
        </w:rPr>
      </w:pPr>
      <w:r w:rsidRPr="00DB49EB">
        <w:rPr>
          <w:sz w:val="20"/>
          <w:szCs w:val="20"/>
        </w:rPr>
        <w:t xml:space="preserve"> Abstracts will be accepted for oral presentations, posters, workshops, and special sessions focused toward the following </w:t>
      </w:r>
      <w:r w:rsidR="00FD433A" w:rsidRPr="00DB49EB">
        <w:rPr>
          <w:sz w:val="20"/>
          <w:szCs w:val="20"/>
        </w:rPr>
        <w:t xml:space="preserve">suggested </w:t>
      </w:r>
      <w:r w:rsidRPr="00DB49EB">
        <w:rPr>
          <w:sz w:val="20"/>
          <w:szCs w:val="20"/>
        </w:rPr>
        <w:t>topics</w:t>
      </w:r>
      <w:r w:rsidR="00BD28CA">
        <w:rPr>
          <w:sz w:val="20"/>
          <w:szCs w:val="20"/>
        </w:rPr>
        <w:t>.  Other topics may be suggested.  Be creative.</w:t>
      </w:r>
      <w:r w:rsidRPr="00DB49EB">
        <w:rPr>
          <w:sz w:val="20"/>
          <w:szCs w:val="20"/>
        </w:rPr>
        <w:t xml:space="preserve"> </w:t>
      </w:r>
    </w:p>
    <w:p w14:paraId="2C6585BF" w14:textId="77777777" w:rsidR="00F61D65" w:rsidRPr="00DB49EB" w:rsidRDefault="00F61D65" w:rsidP="00DB49EB">
      <w:pPr>
        <w:ind w:left="-180"/>
        <w:rPr>
          <w:sz w:val="20"/>
          <w:szCs w:val="20"/>
        </w:rPr>
        <w:sectPr w:rsidR="00F61D65" w:rsidRPr="00DB49EB" w:rsidSect="00DB49EB">
          <w:pgSz w:w="12240" w:h="15840"/>
          <w:pgMar w:top="540" w:right="1080" w:bottom="540" w:left="1440" w:header="720" w:footer="720" w:gutter="0"/>
          <w:cols w:space="720"/>
          <w:docGrid w:linePitch="360"/>
        </w:sectPr>
      </w:pPr>
    </w:p>
    <w:p w14:paraId="4DC8CE1F" w14:textId="77777777" w:rsidR="00F61D65" w:rsidRPr="003666F6" w:rsidRDefault="00F61D65" w:rsidP="00DB49EB">
      <w:pPr>
        <w:spacing w:after="120"/>
        <w:ind w:left="-180"/>
        <w:rPr>
          <w:sz w:val="20"/>
          <w:szCs w:val="20"/>
        </w:rPr>
      </w:pPr>
      <w:r w:rsidRPr="003666F6">
        <w:rPr>
          <w:sz w:val="20"/>
          <w:szCs w:val="20"/>
        </w:rPr>
        <w:t xml:space="preserve">• Air Quality </w:t>
      </w:r>
      <w:r w:rsidR="00DB49EB">
        <w:rPr>
          <w:sz w:val="20"/>
          <w:szCs w:val="20"/>
        </w:rPr>
        <w:tab/>
      </w:r>
    </w:p>
    <w:p w14:paraId="2B985E05" w14:textId="77777777" w:rsidR="00F61D65" w:rsidRPr="003666F6" w:rsidRDefault="00F61D65" w:rsidP="00DB49EB">
      <w:pPr>
        <w:spacing w:after="120"/>
        <w:ind w:left="-180"/>
        <w:rPr>
          <w:sz w:val="20"/>
          <w:szCs w:val="20"/>
        </w:rPr>
      </w:pPr>
      <w:r w:rsidRPr="003666F6">
        <w:rPr>
          <w:sz w:val="20"/>
          <w:szCs w:val="20"/>
        </w:rPr>
        <w:t xml:space="preserve">• Agriculture Issues </w:t>
      </w:r>
    </w:p>
    <w:p w14:paraId="0F5BA8BB" w14:textId="77777777" w:rsidR="00F61D65" w:rsidRPr="003666F6" w:rsidRDefault="00F61D65" w:rsidP="00DB49EB">
      <w:pPr>
        <w:spacing w:after="120"/>
        <w:ind w:left="-180"/>
        <w:rPr>
          <w:sz w:val="20"/>
          <w:szCs w:val="20"/>
        </w:rPr>
      </w:pPr>
      <w:r w:rsidRPr="003666F6">
        <w:rPr>
          <w:sz w:val="20"/>
          <w:szCs w:val="20"/>
        </w:rPr>
        <w:t xml:space="preserve">• Chesapeake Bay </w:t>
      </w:r>
    </w:p>
    <w:p w14:paraId="4A64C947" w14:textId="77777777" w:rsidR="00F61D65" w:rsidRPr="003666F6" w:rsidRDefault="00F61D65" w:rsidP="00DB49EB">
      <w:pPr>
        <w:spacing w:after="120"/>
        <w:ind w:left="-180"/>
        <w:rPr>
          <w:sz w:val="20"/>
          <w:szCs w:val="20"/>
        </w:rPr>
      </w:pPr>
      <w:r w:rsidRPr="003666F6">
        <w:rPr>
          <w:sz w:val="20"/>
          <w:szCs w:val="20"/>
        </w:rPr>
        <w:t xml:space="preserve">• Climate Change </w:t>
      </w:r>
    </w:p>
    <w:p w14:paraId="178A7D3D" w14:textId="77777777" w:rsidR="00F61D65" w:rsidRPr="003666F6" w:rsidRDefault="00F61D65" w:rsidP="00DB49EB">
      <w:pPr>
        <w:spacing w:after="120"/>
        <w:ind w:left="-180"/>
        <w:rPr>
          <w:sz w:val="20"/>
          <w:szCs w:val="20"/>
        </w:rPr>
      </w:pPr>
      <w:r w:rsidRPr="003666F6">
        <w:rPr>
          <w:sz w:val="20"/>
          <w:szCs w:val="20"/>
        </w:rPr>
        <w:t xml:space="preserve">• Cultural and Historic Resources </w:t>
      </w:r>
    </w:p>
    <w:p w14:paraId="36F35BD6" w14:textId="77777777" w:rsidR="00F61D65" w:rsidRDefault="00F61D65" w:rsidP="00DB49EB">
      <w:pPr>
        <w:spacing w:after="120"/>
        <w:ind w:left="-180"/>
        <w:rPr>
          <w:sz w:val="20"/>
          <w:szCs w:val="20"/>
        </w:rPr>
      </w:pPr>
      <w:r w:rsidRPr="003666F6">
        <w:rPr>
          <w:sz w:val="20"/>
          <w:szCs w:val="20"/>
        </w:rPr>
        <w:t xml:space="preserve">• Ecological Restoration </w:t>
      </w:r>
    </w:p>
    <w:p w14:paraId="3116EFF1" w14:textId="77777777" w:rsidR="00DB49EB" w:rsidRDefault="00DB49EB" w:rsidP="00DB49EB">
      <w:pPr>
        <w:spacing w:after="120"/>
        <w:ind w:left="-180"/>
        <w:rPr>
          <w:sz w:val="20"/>
          <w:szCs w:val="20"/>
        </w:rPr>
      </w:pPr>
    </w:p>
    <w:p w14:paraId="57FFCA2A" w14:textId="77777777" w:rsidR="00F61D65" w:rsidRDefault="00F61D65" w:rsidP="00DB49EB">
      <w:pPr>
        <w:spacing w:after="120"/>
        <w:ind w:left="-180"/>
        <w:rPr>
          <w:sz w:val="20"/>
          <w:szCs w:val="20"/>
        </w:rPr>
      </w:pPr>
      <w:r w:rsidRPr="003666F6">
        <w:rPr>
          <w:sz w:val="20"/>
          <w:szCs w:val="20"/>
        </w:rPr>
        <w:t xml:space="preserve">• Endangered Species </w:t>
      </w:r>
    </w:p>
    <w:p w14:paraId="0AFB9064" w14:textId="77777777" w:rsidR="003666F6" w:rsidRPr="003666F6" w:rsidRDefault="00F61D65" w:rsidP="00DB49EB">
      <w:pPr>
        <w:spacing w:after="120"/>
        <w:ind w:left="-180"/>
        <w:rPr>
          <w:sz w:val="20"/>
          <w:szCs w:val="20"/>
        </w:rPr>
      </w:pPr>
      <w:r w:rsidRPr="003666F6">
        <w:rPr>
          <w:sz w:val="20"/>
          <w:szCs w:val="20"/>
        </w:rPr>
        <w:t xml:space="preserve">• Energy </w:t>
      </w:r>
    </w:p>
    <w:p w14:paraId="6FDF0BB7" w14:textId="77777777" w:rsidR="003666F6" w:rsidRPr="003666F6" w:rsidRDefault="003666F6" w:rsidP="00DB49EB">
      <w:pPr>
        <w:spacing w:after="120"/>
        <w:ind w:left="-180"/>
        <w:rPr>
          <w:sz w:val="20"/>
          <w:szCs w:val="20"/>
        </w:rPr>
      </w:pPr>
      <w:r w:rsidRPr="003666F6">
        <w:rPr>
          <w:sz w:val="20"/>
          <w:szCs w:val="20"/>
        </w:rPr>
        <w:t xml:space="preserve">• Role of Government in Environmental Improvement </w:t>
      </w:r>
    </w:p>
    <w:p w14:paraId="5AD15EF2" w14:textId="77777777" w:rsidR="00F61D65" w:rsidRPr="003666F6" w:rsidRDefault="00F61D65" w:rsidP="00DB49EB">
      <w:pPr>
        <w:spacing w:after="120"/>
        <w:ind w:left="-180"/>
        <w:rPr>
          <w:sz w:val="20"/>
          <w:szCs w:val="20"/>
        </w:rPr>
      </w:pPr>
      <w:r w:rsidRPr="003666F6">
        <w:rPr>
          <w:sz w:val="20"/>
          <w:szCs w:val="20"/>
        </w:rPr>
        <w:t xml:space="preserve">• Infrastructure Upgrades and the Environment </w:t>
      </w:r>
    </w:p>
    <w:p w14:paraId="2D34404F" w14:textId="77777777" w:rsidR="00BD28CA" w:rsidRDefault="00BD28CA" w:rsidP="00DB49EB">
      <w:pPr>
        <w:spacing w:after="120"/>
        <w:ind w:left="-180"/>
        <w:rPr>
          <w:sz w:val="20"/>
          <w:szCs w:val="20"/>
        </w:rPr>
      </w:pPr>
    </w:p>
    <w:p w14:paraId="4893DABC" w14:textId="77777777" w:rsidR="00FD433A" w:rsidRDefault="00FD433A" w:rsidP="00DB49EB">
      <w:pPr>
        <w:spacing w:after="120"/>
        <w:ind w:left="-180"/>
        <w:rPr>
          <w:sz w:val="20"/>
          <w:szCs w:val="20"/>
        </w:rPr>
      </w:pPr>
      <w:r w:rsidRPr="003666F6">
        <w:rPr>
          <w:sz w:val="20"/>
          <w:szCs w:val="20"/>
        </w:rPr>
        <w:t xml:space="preserve">• Interstate Partnerships </w:t>
      </w:r>
    </w:p>
    <w:p w14:paraId="6B3B3570" w14:textId="77777777" w:rsidR="00FD433A" w:rsidRPr="003666F6" w:rsidRDefault="00FD433A" w:rsidP="00DB49EB">
      <w:pPr>
        <w:ind w:left="-180"/>
        <w:rPr>
          <w:sz w:val="20"/>
          <w:szCs w:val="20"/>
        </w:rPr>
      </w:pPr>
      <w:r w:rsidRPr="003666F6">
        <w:rPr>
          <w:sz w:val="20"/>
          <w:szCs w:val="20"/>
        </w:rPr>
        <w:t xml:space="preserve">• National Environmental Policy Act </w:t>
      </w:r>
    </w:p>
    <w:p w14:paraId="597DED0B" w14:textId="77777777" w:rsidR="00FD433A" w:rsidRPr="003666F6" w:rsidRDefault="00FD433A" w:rsidP="00DB49EB">
      <w:pPr>
        <w:ind w:left="-180"/>
        <w:rPr>
          <w:sz w:val="20"/>
          <w:szCs w:val="20"/>
        </w:rPr>
      </w:pPr>
      <w:r w:rsidRPr="003666F6">
        <w:rPr>
          <w:sz w:val="20"/>
          <w:szCs w:val="20"/>
        </w:rPr>
        <w:t xml:space="preserve">• Planning and Permitting </w:t>
      </w:r>
    </w:p>
    <w:p w14:paraId="4EFB9371" w14:textId="77777777" w:rsidR="00FD433A" w:rsidRDefault="00FD433A" w:rsidP="00DB49EB">
      <w:pPr>
        <w:ind w:left="-180"/>
        <w:rPr>
          <w:sz w:val="20"/>
          <w:szCs w:val="20"/>
        </w:rPr>
      </w:pPr>
      <w:r w:rsidRPr="003666F6">
        <w:rPr>
          <w:sz w:val="20"/>
          <w:szCs w:val="20"/>
        </w:rPr>
        <w:t xml:space="preserve">• Public Involvement </w:t>
      </w:r>
    </w:p>
    <w:p w14:paraId="245424BA" w14:textId="77777777" w:rsidR="00BD28CA" w:rsidRDefault="00BD28CA" w:rsidP="00DB49EB">
      <w:pPr>
        <w:ind w:left="-180"/>
        <w:rPr>
          <w:sz w:val="20"/>
          <w:szCs w:val="20"/>
        </w:rPr>
      </w:pPr>
    </w:p>
    <w:p w14:paraId="4B11C2C5" w14:textId="77777777" w:rsidR="00FD433A" w:rsidRPr="003666F6" w:rsidRDefault="00FD433A" w:rsidP="00DB49EB">
      <w:pPr>
        <w:ind w:left="-180"/>
        <w:rPr>
          <w:sz w:val="20"/>
          <w:szCs w:val="20"/>
        </w:rPr>
      </w:pPr>
      <w:r w:rsidRPr="003666F6">
        <w:rPr>
          <w:sz w:val="20"/>
          <w:szCs w:val="20"/>
        </w:rPr>
        <w:t xml:space="preserve">• Remediation, Brownfields, and Emerging Contaminant Issues </w:t>
      </w:r>
    </w:p>
    <w:p w14:paraId="0369D92F" w14:textId="77777777" w:rsidR="00FD433A" w:rsidRPr="003666F6" w:rsidRDefault="00FD433A" w:rsidP="00DB49EB">
      <w:pPr>
        <w:ind w:left="-180"/>
        <w:rPr>
          <w:sz w:val="20"/>
          <w:szCs w:val="20"/>
        </w:rPr>
      </w:pPr>
      <w:r w:rsidRPr="003666F6">
        <w:rPr>
          <w:sz w:val="20"/>
          <w:szCs w:val="20"/>
        </w:rPr>
        <w:t xml:space="preserve">• </w:t>
      </w:r>
      <w:proofErr w:type="spellStart"/>
      <w:r w:rsidRPr="003666F6">
        <w:rPr>
          <w:sz w:val="20"/>
          <w:szCs w:val="20"/>
        </w:rPr>
        <w:t>Stormwater</w:t>
      </w:r>
      <w:proofErr w:type="spellEnd"/>
      <w:r w:rsidRPr="003666F6">
        <w:rPr>
          <w:sz w:val="20"/>
          <w:szCs w:val="20"/>
        </w:rPr>
        <w:t xml:space="preserve"> </w:t>
      </w:r>
    </w:p>
    <w:p w14:paraId="0EBD9CD8" w14:textId="77777777" w:rsidR="00FD433A" w:rsidRPr="003666F6" w:rsidRDefault="00FD433A" w:rsidP="00DB49EB">
      <w:pPr>
        <w:ind w:left="-180"/>
        <w:rPr>
          <w:sz w:val="20"/>
          <w:szCs w:val="20"/>
        </w:rPr>
      </w:pPr>
      <w:r w:rsidRPr="003666F6">
        <w:rPr>
          <w:sz w:val="20"/>
          <w:szCs w:val="20"/>
        </w:rPr>
        <w:t xml:space="preserve">• Transportation </w:t>
      </w:r>
    </w:p>
    <w:p w14:paraId="1B36C9DC" w14:textId="77777777" w:rsidR="00FD433A" w:rsidRPr="003666F6" w:rsidRDefault="00FD433A" w:rsidP="00DB49EB">
      <w:pPr>
        <w:ind w:left="-180"/>
        <w:rPr>
          <w:sz w:val="20"/>
          <w:szCs w:val="20"/>
        </w:rPr>
      </w:pPr>
      <w:r w:rsidRPr="003666F6">
        <w:rPr>
          <w:sz w:val="20"/>
          <w:szCs w:val="20"/>
        </w:rPr>
        <w:t>• Water Resources</w:t>
      </w:r>
    </w:p>
    <w:p w14:paraId="1FEACA06" w14:textId="77777777" w:rsidR="00DB49EB" w:rsidRPr="003666F6" w:rsidRDefault="00DB49EB">
      <w:pPr>
        <w:rPr>
          <w:sz w:val="20"/>
          <w:szCs w:val="20"/>
        </w:rPr>
      </w:pPr>
    </w:p>
    <w:sectPr w:rsidR="00DB49EB" w:rsidRPr="003666F6" w:rsidSect="00DB49EB">
      <w:type w:val="continuous"/>
      <w:pgSz w:w="12240" w:h="15840"/>
      <w:pgMar w:top="1440" w:right="1080" w:bottom="45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6F56"/>
    <w:rsid w:val="00005078"/>
    <w:rsid w:val="000C32A8"/>
    <w:rsid w:val="00122D8F"/>
    <w:rsid w:val="001411AC"/>
    <w:rsid w:val="001A0C57"/>
    <w:rsid w:val="00310DC3"/>
    <w:rsid w:val="003166BC"/>
    <w:rsid w:val="003666F6"/>
    <w:rsid w:val="004D0AC6"/>
    <w:rsid w:val="006F7041"/>
    <w:rsid w:val="0077249C"/>
    <w:rsid w:val="00BB2E04"/>
    <w:rsid w:val="00BD28CA"/>
    <w:rsid w:val="00BD7A80"/>
    <w:rsid w:val="00BE6F56"/>
    <w:rsid w:val="00DB49EB"/>
    <w:rsid w:val="00E430DD"/>
    <w:rsid w:val="00E92BDA"/>
    <w:rsid w:val="00F40812"/>
    <w:rsid w:val="00F61D65"/>
    <w:rsid w:val="00FA5FBD"/>
    <w:rsid w:val="00FD433A"/>
    <w:rsid w:val="00FF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142B"/>
  <w15:docId w15:val="{4AB37612-64BF-4DE8-A7D0-0833C25D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D65"/>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F61D65"/>
    <w:pPr>
      <w:spacing w:line="201" w:lineRule="atLeast"/>
    </w:pPr>
    <w:rPr>
      <w:rFonts w:cstheme="minorBidi"/>
      <w:color w:val="auto"/>
    </w:rPr>
  </w:style>
  <w:style w:type="character" w:styleId="Hyperlink">
    <w:name w:val="Hyperlink"/>
    <w:basedOn w:val="DefaultParagraphFont"/>
    <w:uiPriority w:val="99"/>
    <w:unhideWhenUsed/>
    <w:rsid w:val="00FD433A"/>
    <w:rPr>
      <w:color w:val="0000FF" w:themeColor="hyperlink"/>
      <w:u w:val="single"/>
    </w:rPr>
  </w:style>
  <w:style w:type="character" w:customStyle="1" w:styleId="A0">
    <w:name w:val="A0"/>
    <w:uiPriority w:val="99"/>
    <w:rsid w:val="00FD433A"/>
    <w:rPr>
      <w:rFonts w:cs="Myriad Pro Light"/>
      <w:b/>
      <w:bCs/>
      <w:color w:val="000000"/>
      <w:sz w:val="40"/>
      <w:szCs w:val="40"/>
    </w:rPr>
  </w:style>
  <w:style w:type="character" w:customStyle="1" w:styleId="A1">
    <w:name w:val="A1"/>
    <w:uiPriority w:val="99"/>
    <w:rsid w:val="00FD433A"/>
    <w:rPr>
      <w:rFonts w:ascii="Myriad Pro" w:hAnsi="Myriad Pro" w:cs="Myriad Pro"/>
      <w:color w:val="000000"/>
    </w:rPr>
  </w:style>
  <w:style w:type="paragraph" w:styleId="BalloonText">
    <w:name w:val="Balloon Text"/>
    <w:basedOn w:val="Normal"/>
    <w:link w:val="BalloonTextChar"/>
    <w:uiPriority w:val="99"/>
    <w:semiHidden/>
    <w:unhideWhenUsed/>
    <w:rsid w:val="00366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6F6"/>
    <w:rPr>
      <w:rFonts w:ascii="Tahoma" w:hAnsi="Tahoma" w:cs="Tahoma"/>
      <w:sz w:val="16"/>
      <w:szCs w:val="16"/>
    </w:rPr>
  </w:style>
  <w:style w:type="character" w:styleId="UnresolvedMention">
    <w:name w:val="Unresolved Mention"/>
    <w:basedOn w:val="DefaultParagraphFont"/>
    <w:uiPriority w:val="99"/>
    <w:semiHidden/>
    <w:unhideWhenUsed/>
    <w:rsid w:val="000C3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yfkelman@gmail.com" TargetMode="External"/><Relationship Id="rId5" Type="http://schemas.openxmlformats.org/officeDocument/2006/relationships/hyperlink" Target="https://naep.memberclicks.net/index.php?option=com_mc&amp;view=mc&amp;mcid=form_25492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gary.kelman</dc:creator>
  <cp:lastModifiedBy>California Association of Environmental Professionals</cp:lastModifiedBy>
  <cp:revision>3</cp:revision>
  <dcterms:created xsi:type="dcterms:W3CDTF">2018-06-26T11:24:00Z</dcterms:created>
  <dcterms:modified xsi:type="dcterms:W3CDTF">2018-06-26T15:29:00Z</dcterms:modified>
</cp:coreProperties>
</file>